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8A4" w:rsidRPr="008448A4" w:rsidRDefault="008448A4" w:rsidP="008448A4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October </w:t>
      </w:r>
      <w:r w:rsidR="00873A9E">
        <w:rPr>
          <w:rFonts w:asciiTheme="majorHAnsi" w:hAnsiTheme="majorHAnsi"/>
        </w:rPr>
        <w:t>2</w:t>
      </w:r>
      <w:r w:rsidR="00631CE8">
        <w:rPr>
          <w:rFonts w:asciiTheme="majorHAnsi" w:hAnsiTheme="majorHAnsi"/>
        </w:rPr>
        <w:t>4</w:t>
      </w:r>
      <w:r>
        <w:rPr>
          <w:rFonts w:asciiTheme="majorHAnsi" w:hAnsiTheme="majorHAnsi"/>
        </w:rPr>
        <w:t>, 2019</w:t>
      </w:r>
    </w:p>
    <w:p w:rsidR="008448A4" w:rsidRPr="008448A4" w:rsidRDefault="008448A4" w:rsidP="008448A4">
      <w:pPr>
        <w:spacing w:line="276" w:lineRule="auto"/>
        <w:jc w:val="both"/>
        <w:rPr>
          <w:rFonts w:asciiTheme="majorHAnsi" w:hAnsiTheme="majorHAnsi"/>
        </w:rPr>
      </w:pPr>
    </w:p>
    <w:p w:rsidR="008448A4" w:rsidRPr="008448A4" w:rsidRDefault="008448A4" w:rsidP="008448A4">
      <w:pPr>
        <w:spacing w:line="276" w:lineRule="auto"/>
        <w:jc w:val="both"/>
        <w:rPr>
          <w:rFonts w:asciiTheme="majorHAnsi" w:hAnsiTheme="majorHAnsi"/>
        </w:rPr>
      </w:pPr>
      <w:r w:rsidRPr="008448A4">
        <w:rPr>
          <w:rFonts w:asciiTheme="majorHAnsi" w:hAnsiTheme="majorHAnsi"/>
          <w:b/>
        </w:rPr>
        <w:t>Attention All Editors</w:t>
      </w:r>
      <w:r w:rsidRPr="008448A4">
        <w:rPr>
          <w:rFonts w:asciiTheme="majorHAnsi" w:hAnsiTheme="majorHAnsi"/>
        </w:rPr>
        <w:t xml:space="preserve"> </w:t>
      </w:r>
      <w:r w:rsidRPr="008448A4">
        <w:rPr>
          <w:rFonts w:asciiTheme="majorHAnsi" w:hAnsiTheme="majorHAnsi"/>
        </w:rPr>
        <w:tab/>
      </w:r>
      <w:r w:rsidRPr="008448A4">
        <w:rPr>
          <w:rFonts w:asciiTheme="majorHAnsi" w:hAnsiTheme="majorHAnsi"/>
        </w:rPr>
        <w:tab/>
      </w:r>
      <w:r w:rsidRPr="008448A4">
        <w:rPr>
          <w:rFonts w:asciiTheme="majorHAnsi" w:hAnsiTheme="majorHAnsi"/>
        </w:rPr>
        <w:tab/>
      </w:r>
      <w:r w:rsidRPr="008448A4">
        <w:rPr>
          <w:rFonts w:asciiTheme="majorHAnsi" w:hAnsiTheme="majorHAnsi"/>
        </w:rPr>
        <w:tab/>
      </w:r>
      <w:r w:rsidRPr="008448A4">
        <w:rPr>
          <w:rFonts w:asciiTheme="majorHAnsi" w:hAnsiTheme="majorHAnsi"/>
        </w:rPr>
        <w:tab/>
        <w:t xml:space="preserve">   </w:t>
      </w:r>
      <w:r w:rsidRPr="008448A4">
        <w:rPr>
          <w:rFonts w:asciiTheme="majorHAnsi" w:hAnsiTheme="majorHAnsi"/>
        </w:rPr>
        <w:tab/>
      </w:r>
      <w:r w:rsidRPr="008448A4">
        <w:rPr>
          <w:rFonts w:asciiTheme="majorHAnsi" w:hAnsiTheme="majorHAnsi"/>
          <w:b/>
        </w:rPr>
        <w:t>For Immediate Release</w:t>
      </w:r>
      <w:r w:rsidRPr="008448A4">
        <w:rPr>
          <w:rFonts w:asciiTheme="majorHAnsi" w:hAnsiTheme="majorHAnsi"/>
        </w:rPr>
        <w:t xml:space="preserve"> </w:t>
      </w:r>
    </w:p>
    <w:p w:rsidR="008448A4" w:rsidRPr="008448A4" w:rsidRDefault="008448A4" w:rsidP="008448A4">
      <w:pPr>
        <w:spacing w:line="276" w:lineRule="auto"/>
        <w:jc w:val="both"/>
        <w:rPr>
          <w:rFonts w:asciiTheme="majorHAnsi" w:hAnsiTheme="majorHAnsi"/>
        </w:rPr>
      </w:pPr>
    </w:p>
    <w:p w:rsidR="00924B7C" w:rsidRDefault="00631CE8" w:rsidP="00924B7C">
      <w:pPr>
        <w:jc w:val="both"/>
        <w:rPr>
          <w:rFonts w:ascii="Calibri" w:eastAsia="Calibri" w:hAnsi="Calibri"/>
          <w:sz w:val="28"/>
          <w:szCs w:val="28"/>
          <w:lang w:val="en-TT"/>
        </w:rPr>
      </w:pPr>
      <w:r>
        <w:rPr>
          <w:rFonts w:ascii="Calibri" w:eastAsia="Calibri" w:hAnsi="Calibri"/>
          <w:sz w:val="28"/>
          <w:szCs w:val="28"/>
          <w:lang w:val="en-TT"/>
        </w:rPr>
        <w:t>Members of the Commission and the Chief Election Officer of the Elections and Boundaries Commission (EBC), met with a delegation from the United National Congress (UNC) to discuss, among other matters, the allegation</w:t>
      </w:r>
      <w:r w:rsidR="00924B7C">
        <w:rPr>
          <w:rFonts w:ascii="Calibri" w:eastAsia="Calibri" w:hAnsi="Calibri"/>
          <w:sz w:val="28"/>
          <w:szCs w:val="28"/>
          <w:lang w:val="en-TT"/>
        </w:rPr>
        <w:t>s</w:t>
      </w:r>
      <w:r>
        <w:rPr>
          <w:rFonts w:ascii="Calibri" w:eastAsia="Calibri" w:hAnsi="Calibri"/>
          <w:sz w:val="28"/>
          <w:szCs w:val="28"/>
          <w:lang w:val="en-TT"/>
        </w:rPr>
        <w:t xml:space="preserve"> made by the UNC of “inconsistencies and anomalies” on the </w:t>
      </w:r>
      <w:r w:rsidR="00924B7C">
        <w:rPr>
          <w:rFonts w:ascii="Calibri" w:eastAsia="Calibri" w:hAnsi="Calibri"/>
          <w:sz w:val="28"/>
          <w:szCs w:val="28"/>
          <w:lang w:val="en-TT"/>
        </w:rPr>
        <w:t>list of electors</w:t>
      </w:r>
      <w:r>
        <w:rPr>
          <w:rFonts w:ascii="Calibri" w:eastAsia="Calibri" w:hAnsi="Calibri"/>
          <w:sz w:val="28"/>
          <w:szCs w:val="28"/>
          <w:lang w:val="en-TT"/>
        </w:rPr>
        <w:t xml:space="preserve"> </w:t>
      </w:r>
      <w:r w:rsidR="00924B7C">
        <w:rPr>
          <w:rFonts w:ascii="Calibri" w:eastAsia="Calibri" w:hAnsi="Calibri"/>
          <w:sz w:val="28"/>
          <w:szCs w:val="28"/>
          <w:lang w:val="en-TT"/>
        </w:rPr>
        <w:t xml:space="preserve">in </w:t>
      </w:r>
      <w:r>
        <w:rPr>
          <w:rFonts w:ascii="Calibri" w:eastAsia="Calibri" w:hAnsi="Calibri"/>
          <w:sz w:val="28"/>
          <w:szCs w:val="28"/>
          <w:lang w:val="en-TT"/>
        </w:rPr>
        <w:t>several constituencies</w:t>
      </w:r>
      <w:r w:rsidR="00924B7C">
        <w:rPr>
          <w:rFonts w:ascii="Calibri" w:eastAsia="Calibri" w:hAnsi="Calibri"/>
          <w:sz w:val="28"/>
          <w:szCs w:val="28"/>
          <w:lang w:val="en-TT"/>
        </w:rPr>
        <w:t>.</w:t>
      </w:r>
    </w:p>
    <w:p w:rsidR="00924B7C" w:rsidRDefault="00924B7C" w:rsidP="00924B7C">
      <w:pPr>
        <w:jc w:val="both"/>
        <w:rPr>
          <w:rFonts w:ascii="Calibri" w:eastAsia="Calibri" w:hAnsi="Calibri"/>
          <w:sz w:val="28"/>
          <w:szCs w:val="28"/>
          <w:lang w:val="en-TT"/>
        </w:rPr>
      </w:pPr>
    </w:p>
    <w:p w:rsidR="00924B7C" w:rsidRDefault="00924B7C" w:rsidP="00924B7C">
      <w:pPr>
        <w:jc w:val="both"/>
        <w:rPr>
          <w:rFonts w:ascii="Calibri" w:eastAsia="Calibri" w:hAnsi="Calibri"/>
          <w:sz w:val="28"/>
          <w:szCs w:val="28"/>
          <w:lang w:val="en-TT"/>
        </w:rPr>
      </w:pPr>
      <w:r>
        <w:rPr>
          <w:rFonts w:ascii="Calibri" w:eastAsia="Calibri" w:hAnsi="Calibri"/>
          <w:sz w:val="28"/>
          <w:szCs w:val="28"/>
          <w:lang w:val="en-TT"/>
        </w:rPr>
        <w:t xml:space="preserve">The EBC had publicly stated its commitment to launch an immediate investigation into the UNC’s allegations and at the meeting, was able to provide clarification </w:t>
      </w:r>
      <w:r w:rsidR="00DF376C">
        <w:rPr>
          <w:rFonts w:ascii="Calibri" w:eastAsia="Calibri" w:hAnsi="Calibri"/>
          <w:sz w:val="28"/>
          <w:szCs w:val="28"/>
          <w:lang w:val="en-TT"/>
        </w:rPr>
        <w:t>most of the</w:t>
      </w:r>
      <w:r>
        <w:rPr>
          <w:rFonts w:ascii="Calibri" w:eastAsia="Calibri" w:hAnsi="Calibri"/>
          <w:sz w:val="28"/>
          <w:szCs w:val="28"/>
          <w:lang w:val="en-TT"/>
        </w:rPr>
        <w:t xml:space="preserve"> queries presented by the UNC. On completion of </w:t>
      </w:r>
      <w:r w:rsidR="00E2062B">
        <w:rPr>
          <w:rFonts w:ascii="Calibri" w:eastAsia="Calibri" w:hAnsi="Calibri"/>
          <w:sz w:val="28"/>
          <w:szCs w:val="28"/>
          <w:lang w:val="en-TT"/>
        </w:rPr>
        <w:t>its</w:t>
      </w:r>
      <w:r>
        <w:rPr>
          <w:rFonts w:ascii="Calibri" w:eastAsia="Calibri" w:hAnsi="Calibri"/>
          <w:sz w:val="28"/>
          <w:szCs w:val="28"/>
          <w:lang w:val="en-TT"/>
        </w:rPr>
        <w:t xml:space="preserve"> investigation, a comprehensive report will be presented to the UNC.</w:t>
      </w:r>
    </w:p>
    <w:p w:rsidR="00924B7C" w:rsidRDefault="00924B7C" w:rsidP="00924B7C">
      <w:pPr>
        <w:jc w:val="both"/>
        <w:rPr>
          <w:rFonts w:ascii="Calibri" w:eastAsia="Calibri" w:hAnsi="Calibri"/>
          <w:sz w:val="28"/>
          <w:szCs w:val="28"/>
          <w:lang w:val="en-TT"/>
        </w:rPr>
      </w:pPr>
    </w:p>
    <w:p w:rsidR="00E2062B" w:rsidRDefault="00924B7C" w:rsidP="00924B7C">
      <w:pPr>
        <w:jc w:val="both"/>
        <w:rPr>
          <w:rFonts w:ascii="Calibri" w:eastAsia="Calibri" w:hAnsi="Calibri"/>
          <w:sz w:val="28"/>
          <w:szCs w:val="28"/>
          <w:lang w:val="en-TT"/>
        </w:rPr>
      </w:pPr>
      <w:r>
        <w:rPr>
          <w:rFonts w:ascii="Calibri" w:eastAsia="Calibri" w:hAnsi="Calibri"/>
          <w:sz w:val="28"/>
          <w:szCs w:val="28"/>
          <w:lang w:val="en-TT"/>
        </w:rPr>
        <w:t xml:space="preserve">During </w:t>
      </w:r>
      <w:r w:rsidR="00DF376C">
        <w:rPr>
          <w:rFonts w:ascii="Calibri" w:eastAsia="Calibri" w:hAnsi="Calibri"/>
          <w:sz w:val="28"/>
          <w:szCs w:val="28"/>
          <w:lang w:val="en-TT"/>
        </w:rPr>
        <w:t>the</w:t>
      </w:r>
      <w:r w:rsidR="00B11425">
        <w:rPr>
          <w:rFonts w:ascii="Calibri" w:eastAsia="Calibri" w:hAnsi="Calibri"/>
          <w:sz w:val="28"/>
          <w:szCs w:val="28"/>
          <w:lang w:val="en-TT"/>
        </w:rPr>
        <w:t xml:space="preserve"> </w:t>
      </w:r>
      <w:r w:rsidR="00DF376C">
        <w:rPr>
          <w:rFonts w:ascii="Calibri" w:eastAsia="Calibri" w:hAnsi="Calibri"/>
          <w:sz w:val="28"/>
          <w:szCs w:val="28"/>
          <w:lang w:val="en-TT"/>
        </w:rPr>
        <w:t>meeting</w:t>
      </w:r>
      <w:r w:rsidR="00E2062B">
        <w:rPr>
          <w:rFonts w:ascii="Calibri" w:eastAsia="Calibri" w:hAnsi="Calibri"/>
          <w:sz w:val="28"/>
          <w:szCs w:val="28"/>
          <w:lang w:val="en-TT"/>
        </w:rPr>
        <w:t>,</w:t>
      </w:r>
      <w:r>
        <w:rPr>
          <w:rFonts w:ascii="Calibri" w:eastAsia="Calibri" w:hAnsi="Calibri"/>
          <w:sz w:val="28"/>
          <w:szCs w:val="28"/>
          <w:lang w:val="en-TT"/>
        </w:rPr>
        <w:t xml:space="preserve"> </w:t>
      </w:r>
      <w:r w:rsidR="00E2062B">
        <w:rPr>
          <w:rFonts w:ascii="Calibri" w:eastAsia="Calibri" w:hAnsi="Calibri"/>
          <w:sz w:val="28"/>
          <w:szCs w:val="28"/>
          <w:lang w:val="en-TT"/>
        </w:rPr>
        <w:t xml:space="preserve">several matters related to the upcoming Local Government Elections, including the </w:t>
      </w:r>
      <w:r w:rsidR="00DF376C">
        <w:rPr>
          <w:rFonts w:ascii="Calibri" w:eastAsia="Calibri" w:hAnsi="Calibri"/>
          <w:sz w:val="28"/>
          <w:szCs w:val="28"/>
          <w:lang w:val="en-TT"/>
        </w:rPr>
        <w:t>consideration of a</w:t>
      </w:r>
      <w:r w:rsidR="00E2062B">
        <w:rPr>
          <w:rFonts w:ascii="Calibri" w:eastAsia="Calibri" w:hAnsi="Calibri"/>
          <w:sz w:val="28"/>
          <w:szCs w:val="28"/>
          <w:lang w:val="en-TT"/>
        </w:rPr>
        <w:t xml:space="preserve"> communications protocol between political parties and the EBC </w:t>
      </w:r>
      <w:r w:rsidR="00DF376C">
        <w:rPr>
          <w:rFonts w:ascii="Calibri" w:eastAsia="Calibri" w:hAnsi="Calibri"/>
          <w:sz w:val="28"/>
          <w:szCs w:val="28"/>
          <w:lang w:val="en-TT"/>
        </w:rPr>
        <w:t xml:space="preserve">on Poll Day was </w:t>
      </w:r>
      <w:r w:rsidR="00E2062B">
        <w:rPr>
          <w:rFonts w:ascii="Calibri" w:eastAsia="Calibri" w:hAnsi="Calibri"/>
          <w:sz w:val="28"/>
          <w:szCs w:val="28"/>
          <w:lang w:val="en-TT"/>
        </w:rPr>
        <w:t>discussed.</w:t>
      </w:r>
    </w:p>
    <w:p w:rsidR="00E2062B" w:rsidRDefault="00E2062B" w:rsidP="00924B7C">
      <w:pPr>
        <w:jc w:val="both"/>
        <w:rPr>
          <w:rFonts w:ascii="Calibri" w:eastAsia="Calibri" w:hAnsi="Calibri"/>
          <w:sz w:val="28"/>
          <w:szCs w:val="28"/>
          <w:lang w:val="en-TT"/>
        </w:rPr>
      </w:pPr>
    </w:p>
    <w:p w:rsidR="00E2062B" w:rsidRDefault="00E2062B" w:rsidP="00924B7C">
      <w:pPr>
        <w:jc w:val="both"/>
        <w:rPr>
          <w:rFonts w:ascii="Calibri" w:eastAsia="Calibri" w:hAnsi="Calibri"/>
          <w:sz w:val="28"/>
          <w:szCs w:val="28"/>
          <w:lang w:val="en-TT"/>
        </w:rPr>
      </w:pPr>
      <w:r>
        <w:rPr>
          <w:rFonts w:ascii="Calibri" w:eastAsia="Calibri" w:hAnsi="Calibri"/>
          <w:sz w:val="28"/>
          <w:szCs w:val="28"/>
          <w:lang w:val="en-TT"/>
        </w:rPr>
        <w:t>The meeting was held at the EBC’s Central Electoral Office at 134-138, Frederick Street, Port of Spain.</w:t>
      </w:r>
    </w:p>
    <w:p w:rsidR="00E2062B" w:rsidRDefault="00E2062B" w:rsidP="00924B7C">
      <w:pPr>
        <w:jc w:val="both"/>
        <w:rPr>
          <w:rFonts w:ascii="Calibri" w:eastAsia="Calibri" w:hAnsi="Calibri"/>
          <w:sz w:val="28"/>
          <w:szCs w:val="28"/>
          <w:lang w:val="en-TT"/>
        </w:rPr>
      </w:pPr>
    </w:p>
    <w:p w:rsidR="00E2062B" w:rsidRDefault="00E2062B" w:rsidP="00924B7C">
      <w:pPr>
        <w:jc w:val="both"/>
        <w:rPr>
          <w:rFonts w:ascii="Calibri" w:eastAsia="Calibri" w:hAnsi="Calibri"/>
          <w:sz w:val="28"/>
          <w:szCs w:val="28"/>
          <w:lang w:val="en-TT"/>
        </w:rPr>
      </w:pPr>
      <w:r>
        <w:rPr>
          <w:rFonts w:ascii="Calibri" w:eastAsia="Calibri" w:hAnsi="Calibri"/>
          <w:sz w:val="28"/>
          <w:szCs w:val="28"/>
          <w:lang w:val="en-TT"/>
        </w:rPr>
        <w:t>For further information please contact the Corporate Communications Unit.</w:t>
      </w:r>
    </w:p>
    <w:p w:rsidR="00E2062B" w:rsidRDefault="00E2062B" w:rsidP="00924B7C">
      <w:pPr>
        <w:jc w:val="both"/>
        <w:rPr>
          <w:rFonts w:ascii="Calibri" w:eastAsia="Calibri" w:hAnsi="Calibri"/>
          <w:sz w:val="28"/>
          <w:szCs w:val="28"/>
          <w:lang w:val="en-TT"/>
        </w:rPr>
      </w:pPr>
    </w:p>
    <w:p w:rsidR="00631CE8" w:rsidRDefault="00E2062B" w:rsidP="00E2062B">
      <w:pPr>
        <w:jc w:val="center"/>
        <w:rPr>
          <w:rFonts w:ascii="Calibri" w:eastAsia="Calibri" w:hAnsi="Calibri"/>
          <w:sz w:val="28"/>
          <w:szCs w:val="28"/>
          <w:lang w:val="en-TT"/>
        </w:rPr>
      </w:pPr>
      <w:r>
        <w:rPr>
          <w:rFonts w:ascii="Calibri" w:eastAsia="Calibri" w:hAnsi="Calibri"/>
          <w:sz w:val="28"/>
          <w:szCs w:val="28"/>
          <w:lang w:val="en-TT"/>
        </w:rPr>
        <w:t>###END###</w:t>
      </w:r>
    </w:p>
    <w:p w:rsidR="00924B7C" w:rsidRDefault="00924B7C" w:rsidP="00924B7C">
      <w:pPr>
        <w:jc w:val="both"/>
        <w:rPr>
          <w:rFonts w:ascii="Calibri" w:eastAsia="Calibri" w:hAnsi="Calibri"/>
          <w:sz w:val="28"/>
          <w:szCs w:val="28"/>
          <w:lang w:val="en-TT"/>
        </w:rPr>
      </w:pPr>
    </w:p>
    <w:p w:rsidR="00DF376C" w:rsidRDefault="00DF376C" w:rsidP="00DF376C">
      <w:pPr>
        <w:spacing w:line="360" w:lineRule="auto"/>
        <w:rPr>
          <w:rFonts w:ascii="Calibri" w:eastAsia="Calibri" w:hAnsi="Calibri"/>
          <w:lang w:val="en-TT"/>
        </w:rPr>
      </w:pPr>
      <w:r>
        <w:rPr>
          <w:rFonts w:ascii="Calibri" w:eastAsia="Calibri" w:hAnsi="Calibri"/>
          <w:lang w:val="en-TT"/>
        </w:rPr>
        <w:t>Corporate Communications Unit</w:t>
      </w:r>
    </w:p>
    <w:p w:rsidR="00DF376C" w:rsidRDefault="00DF376C" w:rsidP="00DF376C">
      <w:pPr>
        <w:rPr>
          <w:rFonts w:ascii="Calibri" w:eastAsia="Calibri" w:hAnsi="Calibri"/>
          <w:lang w:val="en-TT"/>
        </w:rPr>
      </w:pPr>
      <w:hyperlink r:id="rId8" w:history="1">
        <w:r w:rsidRPr="00771CE0">
          <w:rPr>
            <w:rStyle w:val="Hyperlink"/>
            <w:rFonts w:ascii="Calibri" w:eastAsia="Calibri" w:hAnsi="Calibri"/>
            <w:color w:val="auto"/>
            <w:u w:val="none"/>
            <w:lang w:val="en-TT"/>
          </w:rPr>
          <w:t>Tel:|(868)</w:t>
        </w:r>
      </w:hyperlink>
      <w:r w:rsidRPr="00771CE0">
        <w:rPr>
          <w:rFonts w:ascii="Calibri" w:eastAsia="Calibri" w:hAnsi="Calibri"/>
          <w:lang w:val="en-TT"/>
        </w:rPr>
        <w:t xml:space="preserve"> </w:t>
      </w:r>
      <w:r>
        <w:rPr>
          <w:rFonts w:ascii="Calibri" w:eastAsia="Calibri" w:hAnsi="Calibri"/>
          <w:lang w:val="en-TT"/>
        </w:rPr>
        <w:t>625-5924</w:t>
      </w:r>
    </w:p>
    <w:p w:rsidR="00DF376C" w:rsidRDefault="00DF376C" w:rsidP="00DF376C">
      <w:pPr>
        <w:rPr>
          <w:rFonts w:ascii="Calibri" w:eastAsia="Calibri" w:hAnsi="Calibri"/>
          <w:lang w:val="en-TT"/>
        </w:rPr>
      </w:pPr>
      <w:r>
        <w:rPr>
          <w:rFonts w:ascii="Calibri" w:eastAsia="Calibri" w:hAnsi="Calibri"/>
          <w:lang w:val="en-TT"/>
        </w:rPr>
        <w:t>Email|managercommebc@gmail.com</w:t>
      </w:r>
    </w:p>
    <w:p w:rsidR="009171E3" w:rsidRDefault="00DF376C" w:rsidP="00894AB0">
      <w:r>
        <w:rPr>
          <w:rFonts w:ascii="Calibri" w:eastAsia="Calibri" w:hAnsi="Calibri"/>
          <w:lang w:val="en-TT"/>
        </w:rPr>
        <w:t>Website|www.ebctt.com</w:t>
      </w:r>
      <w:bookmarkStart w:id="0" w:name="_GoBack"/>
      <w:bookmarkEnd w:id="0"/>
    </w:p>
    <w:p w:rsidR="009171E3" w:rsidRPr="008448A4" w:rsidRDefault="009171E3" w:rsidP="00894A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171E3" w:rsidRPr="008448A4" w:rsidSect="00174B95">
      <w:headerReference w:type="default" r:id="rId9"/>
      <w:footerReference w:type="default" r:id="rId10"/>
      <w:pgSz w:w="12240" w:h="15840"/>
      <w:pgMar w:top="590" w:right="2034" w:bottom="1440" w:left="1800" w:header="454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CFE" w:rsidRDefault="002A6CFE" w:rsidP="00596D6D">
      <w:r>
        <w:separator/>
      </w:r>
    </w:p>
  </w:endnote>
  <w:endnote w:type="continuationSeparator" w:id="0">
    <w:p w:rsidR="002A6CFE" w:rsidRDefault="002A6CFE" w:rsidP="0059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349" w:rsidRPr="008448A4" w:rsidRDefault="00E43DED" w:rsidP="000209DD">
    <w:pPr>
      <w:pStyle w:val="Footer"/>
      <w:tabs>
        <w:tab w:val="clear" w:pos="8640"/>
        <w:tab w:val="right" w:pos="9356"/>
      </w:tabs>
      <w:ind w:left="-567" w:right="-950"/>
      <w:jc w:val="center"/>
      <w:rPr>
        <w:rFonts w:ascii="Arial" w:hAnsi="Arial"/>
        <w:color w:val="808080"/>
        <w:sz w:val="18"/>
      </w:rPr>
    </w:pPr>
    <w:r w:rsidRPr="00F66472">
      <w:rPr>
        <w:noProof/>
        <w:sz w:val="20"/>
        <w:lang w:val="en-TT" w:eastAsia="en-T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5048250</wp:posOffset>
          </wp:positionH>
          <wp:positionV relativeFrom="page">
            <wp:posOffset>8136255</wp:posOffset>
          </wp:positionV>
          <wp:extent cx="1362075" cy="1007745"/>
          <wp:effectExtent l="0" t="0" r="0" b="0"/>
          <wp:wrapTight wrapText="bothSides">
            <wp:wrapPolygon edited="0">
              <wp:start x="0" y="0"/>
              <wp:lineTo x="0" y="21233"/>
              <wp:lineTo x="21449" y="21233"/>
              <wp:lineTo x="21449" y="0"/>
              <wp:lineTo x="0" y="0"/>
            </wp:wrapPolygon>
          </wp:wrapTight>
          <wp:docPr id="7" name="Picture 1" descr="Macintosh HD:Users:communications:Desktop:EB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ommunications:Desktop:EB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1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007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09DD" w:rsidRPr="008448A4">
      <w:rPr>
        <w:rFonts w:ascii="Arial" w:hAnsi="Arial"/>
        <w:color w:val="808080"/>
        <w:sz w:val="18"/>
      </w:rPr>
      <w:t xml:space="preserve">     </w:t>
    </w:r>
    <w:r w:rsidR="0039176E" w:rsidRPr="008448A4">
      <w:rPr>
        <w:rFonts w:ascii="Arial" w:hAnsi="Arial"/>
        <w:color w:val="808080"/>
        <w:sz w:val="18"/>
      </w:rPr>
      <w:t>S</w:t>
    </w:r>
    <w:r w:rsidR="004F3349" w:rsidRPr="008448A4">
      <w:rPr>
        <w:rFonts w:ascii="Arial" w:hAnsi="Arial"/>
        <w:color w:val="808080"/>
        <w:sz w:val="18"/>
      </w:rPr>
      <w:t>cott House, 134-138 Frederick Street, Port of Spain, Trinidad &amp; Tobago, West Indies</w:t>
    </w:r>
  </w:p>
  <w:p w:rsidR="004F3349" w:rsidRPr="008448A4" w:rsidRDefault="000209DD" w:rsidP="004F3349">
    <w:pPr>
      <w:pStyle w:val="Footer"/>
      <w:jc w:val="center"/>
      <w:rPr>
        <w:rFonts w:ascii="Arial" w:hAnsi="Arial"/>
        <w:color w:val="808080"/>
        <w:sz w:val="18"/>
      </w:rPr>
    </w:pPr>
    <w:r w:rsidRPr="008448A4">
      <w:rPr>
        <w:rFonts w:ascii="Arial" w:hAnsi="Arial"/>
        <w:color w:val="808080"/>
        <w:sz w:val="18"/>
      </w:rPr>
      <w:t xml:space="preserve">     </w:t>
    </w:r>
    <w:r w:rsidR="004F3349" w:rsidRPr="008448A4">
      <w:rPr>
        <w:rFonts w:ascii="Arial" w:hAnsi="Arial"/>
        <w:color w:val="808080"/>
        <w:sz w:val="18"/>
      </w:rPr>
      <w:t>T: 868 623-8320/4622    F: 868 627-7881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CFE" w:rsidRDefault="002A6CFE" w:rsidP="00596D6D">
      <w:r>
        <w:separator/>
      </w:r>
    </w:p>
  </w:footnote>
  <w:footnote w:type="continuationSeparator" w:id="0">
    <w:p w:rsidR="002A6CFE" w:rsidRDefault="002A6CFE" w:rsidP="00596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472" w:rsidRPr="00F17C6F" w:rsidRDefault="00F66472" w:rsidP="0046046E">
    <w:pPr>
      <w:pStyle w:val="Header"/>
      <w:tabs>
        <w:tab w:val="clear" w:pos="8640"/>
        <w:tab w:val="right" w:pos="9356"/>
      </w:tabs>
      <w:ind w:left="-1276" w:right="-347"/>
      <w:rPr>
        <w:sz w:val="20"/>
      </w:rPr>
    </w:pPr>
    <w:r w:rsidRPr="00F17C6F">
      <w:rPr>
        <w:sz w:val="20"/>
      </w:rPr>
      <w:tab/>
    </w:r>
    <w:r w:rsidR="00E43DED">
      <w:rPr>
        <w:noProof/>
        <w:sz w:val="20"/>
        <w:lang w:val="en-TT" w:eastAsia="en-TT"/>
      </w:rPr>
      <w:drawing>
        <wp:inline distT="0" distB="0" distL="0" distR="0" wp14:anchorId="3F2026AB" wp14:editId="4F784BA2">
          <wp:extent cx="1671387" cy="1310640"/>
          <wp:effectExtent l="25400" t="0" r="5013" b="0"/>
          <wp:docPr id="12" name="Picture 3" descr="Macintosh HD:Users:communications:Desktop:coatarm2[1]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communications:Desktop:coatarm2[1].a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023" t="33421" r="12624" b="21183"/>
                  <a:stretch>
                    <a:fillRect/>
                  </a:stretch>
                </pic:blipFill>
                <pic:spPr bwMode="auto">
                  <a:xfrm>
                    <a:off x="0" y="0"/>
                    <a:ext cx="1671387" cy="1310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17C6F"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D08E8"/>
    <w:multiLevelType w:val="hybridMultilevel"/>
    <w:tmpl w:val="CC7EA0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11C71"/>
    <w:multiLevelType w:val="hybridMultilevel"/>
    <w:tmpl w:val="148C8520"/>
    <w:lvl w:ilvl="0" w:tplc="C936A68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647" w:hanging="360"/>
      </w:pPr>
    </w:lvl>
    <w:lvl w:ilvl="2" w:tplc="2C09001B" w:tentative="1">
      <w:start w:val="1"/>
      <w:numFmt w:val="lowerRoman"/>
      <w:lvlText w:val="%3."/>
      <w:lvlJc w:val="right"/>
      <w:pPr>
        <w:ind w:left="2367" w:hanging="180"/>
      </w:pPr>
    </w:lvl>
    <w:lvl w:ilvl="3" w:tplc="2C09000F" w:tentative="1">
      <w:start w:val="1"/>
      <w:numFmt w:val="decimal"/>
      <w:lvlText w:val="%4."/>
      <w:lvlJc w:val="left"/>
      <w:pPr>
        <w:ind w:left="3087" w:hanging="360"/>
      </w:pPr>
    </w:lvl>
    <w:lvl w:ilvl="4" w:tplc="2C090019" w:tentative="1">
      <w:start w:val="1"/>
      <w:numFmt w:val="lowerLetter"/>
      <w:lvlText w:val="%5."/>
      <w:lvlJc w:val="left"/>
      <w:pPr>
        <w:ind w:left="3807" w:hanging="360"/>
      </w:pPr>
    </w:lvl>
    <w:lvl w:ilvl="5" w:tplc="2C09001B" w:tentative="1">
      <w:start w:val="1"/>
      <w:numFmt w:val="lowerRoman"/>
      <w:lvlText w:val="%6."/>
      <w:lvlJc w:val="right"/>
      <w:pPr>
        <w:ind w:left="4527" w:hanging="180"/>
      </w:pPr>
    </w:lvl>
    <w:lvl w:ilvl="6" w:tplc="2C09000F" w:tentative="1">
      <w:start w:val="1"/>
      <w:numFmt w:val="decimal"/>
      <w:lvlText w:val="%7."/>
      <w:lvlJc w:val="left"/>
      <w:pPr>
        <w:ind w:left="5247" w:hanging="360"/>
      </w:pPr>
    </w:lvl>
    <w:lvl w:ilvl="7" w:tplc="2C090019" w:tentative="1">
      <w:start w:val="1"/>
      <w:numFmt w:val="lowerLetter"/>
      <w:lvlText w:val="%8."/>
      <w:lvlJc w:val="left"/>
      <w:pPr>
        <w:ind w:left="5967" w:hanging="360"/>
      </w:pPr>
    </w:lvl>
    <w:lvl w:ilvl="8" w:tplc="2C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6F"/>
    <w:rsid w:val="00000462"/>
    <w:rsid w:val="000209DD"/>
    <w:rsid w:val="00052458"/>
    <w:rsid w:val="00065C7E"/>
    <w:rsid w:val="00065E64"/>
    <w:rsid w:val="00075E60"/>
    <w:rsid w:val="00091437"/>
    <w:rsid w:val="000A3FD1"/>
    <w:rsid w:val="000A7FF1"/>
    <w:rsid w:val="000B19B1"/>
    <w:rsid w:val="000B48C2"/>
    <w:rsid w:val="0011033F"/>
    <w:rsid w:val="001461DB"/>
    <w:rsid w:val="00154324"/>
    <w:rsid w:val="00156E23"/>
    <w:rsid w:val="00174B95"/>
    <w:rsid w:val="0019588F"/>
    <w:rsid w:val="001B0534"/>
    <w:rsid w:val="001B36E4"/>
    <w:rsid w:val="00241732"/>
    <w:rsid w:val="00257A5E"/>
    <w:rsid w:val="00285D49"/>
    <w:rsid w:val="002A2614"/>
    <w:rsid w:val="002A6CFE"/>
    <w:rsid w:val="002C0370"/>
    <w:rsid w:val="002C326F"/>
    <w:rsid w:val="002F1D0E"/>
    <w:rsid w:val="00300BCB"/>
    <w:rsid w:val="003052F4"/>
    <w:rsid w:val="00307667"/>
    <w:rsid w:val="0033731C"/>
    <w:rsid w:val="00364B88"/>
    <w:rsid w:val="00370CFE"/>
    <w:rsid w:val="0039176E"/>
    <w:rsid w:val="003A2EBD"/>
    <w:rsid w:val="003B3444"/>
    <w:rsid w:val="003C37A6"/>
    <w:rsid w:val="00400F1A"/>
    <w:rsid w:val="00412F1F"/>
    <w:rsid w:val="0046046E"/>
    <w:rsid w:val="00480F25"/>
    <w:rsid w:val="004B7C51"/>
    <w:rsid w:val="004E3DE5"/>
    <w:rsid w:val="004E639D"/>
    <w:rsid w:val="004F3349"/>
    <w:rsid w:val="005209DA"/>
    <w:rsid w:val="005209DF"/>
    <w:rsid w:val="00596D6D"/>
    <w:rsid w:val="005B3034"/>
    <w:rsid w:val="005D5FDE"/>
    <w:rsid w:val="005F1918"/>
    <w:rsid w:val="00613668"/>
    <w:rsid w:val="00631CE8"/>
    <w:rsid w:val="00641B01"/>
    <w:rsid w:val="00694BDF"/>
    <w:rsid w:val="006B3917"/>
    <w:rsid w:val="006C00AD"/>
    <w:rsid w:val="006F4E86"/>
    <w:rsid w:val="007004B5"/>
    <w:rsid w:val="00741F3D"/>
    <w:rsid w:val="00771CE0"/>
    <w:rsid w:val="00781C3C"/>
    <w:rsid w:val="00795524"/>
    <w:rsid w:val="0080335B"/>
    <w:rsid w:val="00837D93"/>
    <w:rsid w:val="00842A98"/>
    <w:rsid w:val="008448A4"/>
    <w:rsid w:val="008578AC"/>
    <w:rsid w:val="00873A9E"/>
    <w:rsid w:val="00894AB0"/>
    <w:rsid w:val="008C5427"/>
    <w:rsid w:val="008E5593"/>
    <w:rsid w:val="008F50D2"/>
    <w:rsid w:val="009171E3"/>
    <w:rsid w:val="00924B7C"/>
    <w:rsid w:val="00956F24"/>
    <w:rsid w:val="009827F4"/>
    <w:rsid w:val="009C2483"/>
    <w:rsid w:val="009C6893"/>
    <w:rsid w:val="009F4F0A"/>
    <w:rsid w:val="00A13F67"/>
    <w:rsid w:val="00AA4691"/>
    <w:rsid w:val="00AC55A0"/>
    <w:rsid w:val="00AD177F"/>
    <w:rsid w:val="00AF3A9E"/>
    <w:rsid w:val="00B0055A"/>
    <w:rsid w:val="00B11425"/>
    <w:rsid w:val="00B16A67"/>
    <w:rsid w:val="00B43AED"/>
    <w:rsid w:val="00B508BC"/>
    <w:rsid w:val="00B70582"/>
    <w:rsid w:val="00BF6B48"/>
    <w:rsid w:val="00C01AE9"/>
    <w:rsid w:val="00C22106"/>
    <w:rsid w:val="00C771C1"/>
    <w:rsid w:val="00CD5834"/>
    <w:rsid w:val="00D07EA3"/>
    <w:rsid w:val="00D117E5"/>
    <w:rsid w:val="00D22541"/>
    <w:rsid w:val="00D45943"/>
    <w:rsid w:val="00D73A70"/>
    <w:rsid w:val="00D90E6B"/>
    <w:rsid w:val="00DA50D7"/>
    <w:rsid w:val="00DC51C0"/>
    <w:rsid w:val="00DF376C"/>
    <w:rsid w:val="00E2062B"/>
    <w:rsid w:val="00E21825"/>
    <w:rsid w:val="00E34619"/>
    <w:rsid w:val="00E35880"/>
    <w:rsid w:val="00E43DED"/>
    <w:rsid w:val="00E75C20"/>
    <w:rsid w:val="00E76013"/>
    <w:rsid w:val="00E92460"/>
    <w:rsid w:val="00EA305F"/>
    <w:rsid w:val="00ED3D75"/>
    <w:rsid w:val="00ED5BDD"/>
    <w:rsid w:val="00EE2817"/>
    <w:rsid w:val="00EF13FC"/>
    <w:rsid w:val="00F05773"/>
    <w:rsid w:val="00F17C6F"/>
    <w:rsid w:val="00F502C4"/>
    <w:rsid w:val="00F66472"/>
    <w:rsid w:val="00F66C97"/>
    <w:rsid w:val="00F80AB6"/>
    <w:rsid w:val="00FB6C13"/>
    <w:rsid w:val="00FC2BEC"/>
    <w:rsid w:val="00FF31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docId w15:val="{CE7A92DE-4F8E-4BF6-912D-5AF42783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01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C6F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17C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7C6F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17C6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AB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7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TT"/>
    </w:rPr>
  </w:style>
  <w:style w:type="paragraph" w:styleId="NoSpacing">
    <w:name w:val="No Spacing"/>
    <w:uiPriority w:val="1"/>
    <w:qFormat/>
    <w:rsid w:val="00E75C2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4E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|(868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5D3D1-B345-469A-8FD0-1935FDDBD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Communications</dc:creator>
  <cp:lastModifiedBy>user</cp:lastModifiedBy>
  <cp:revision>2</cp:revision>
  <cp:lastPrinted>2019-10-24T17:24:00Z</cp:lastPrinted>
  <dcterms:created xsi:type="dcterms:W3CDTF">2019-10-24T19:00:00Z</dcterms:created>
  <dcterms:modified xsi:type="dcterms:W3CDTF">2019-10-24T19:00:00Z</dcterms:modified>
</cp:coreProperties>
</file>